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4" w:type="dxa"/>
        <w:tblBorders>
          <w:bottom w:val="single" w:sz="4" w:space="0" w:color="auto"/>
        </w:tblBorders>
        <w:tblLook w:val="01E0"/>
      </w:tblPr>
      <w:tblGrid>
        <w:gridCol w:w="2845"/>
        <w:gridCol w:w="7679"/>
      </w:tblGrid>
      <w:tr w:rsidR="001071E9" w:rsidRPr="00D83006" w:rsidTr="00611022">
        <w:trPr>
          <w:trHeight w:val="879"/>
        </w:trPr>
        <w:tc>
          <w:tcPr>
            <w:tcW w:w="2845" w:type="dxa"/>
            <w:tcBorders>
              <w:bottom w:val="single" w:sz="4" w:space="0" w:color="auto"/>
            </w:tcBorders>
          </w:tcPr>
          <w:p w:rsidR="001071E9" w:rsidRPr="001071E9" w:rsidRDefault="001071E9" w:rsidP="0061102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1071E9" w:rsidRPr="001071E9" w:rsidRDefault="001071E9" w:rsidP="0061102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071E9">
              <w:rPr>
                <w:rFonts w:ascii="Times New Roman" w:hAnsi="Times New Roman" w:cs="Times New Roman"/>
                <w:sz w:val="24"/>
                <w:szCs w:val="24"/>
              </w:rPr>
              <w:object w:dxaOrig="39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54pt" o:ole="">
                  <v:imagedata r:id="rId6" o:title=""/>
                </v:shape>
                <o:OLEObject Type="Embed" ProgID="PBrush" ShapeID="_x0000_i1025" DrawAspect="Content" ObjectID="_1662455837" r:id="rId7"/>
              </w:object>
            </w: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1071E9" w:rsidRPr="001071E9" w:rsidRDefault="001071E9" w:rsidP="00611022">
            <w:pPr>
              <w:tabs>
                <w:tab w:val="left" w:pos="7812"/>
              </w:tabs>
              <w:ind w:right="25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71E9">
              <w:rPr>
                <w:rFonts w:ascii="Times New Roman" w:hAnsi="Times New Roman" w:cs="Times New Roman"/>
                <w:b/>
                <w:sz w:val="30"/>
                <w:szCs w:val="30"/>
              </w:rPr>
              <w:t>ООО «Машиностроительное предприятие «Ильма»</w:t>
            </w:r>
          </w:p>
          <w:p w:rsidR="001071E9" w:rsidRPr="001071E9" w:rsidRDefault="001071E9" w:rsidP="00611022">
            <w:pPr>
              <w:tabs>
                <w:tab w:val="left" w:pos="7812"/>
              </w:tabs>
              <w:ind w:right="432"/>
              <w:jc w:val="center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1071E9">
              <w:rPr>
                <w:rFonts w:ascii="Times New Roman" w:hAnsi="Times New Roman" w:cs="Times New Roman"/>
                <w:b/>
              </w:rPr>
              <w:t>ИНН</w:t>
            </w:r>
            <w:r w:rsidRPr="001071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E9">
              <w:rPr>
                <w:rFonts w:ascii="Times New Roman" w:hAnsi="Times New Roman" w:cs="Times New Roman"/>
                <w:b/>
              </w:rPr>
              <w:t>7017415824 / КПП 701701001</w:t>
            </w:r>
          </w:p>
          <w:p w:rsidR="001071E9" w:rsidRPr="001071E9" w:rsidRDefault="001071E9" w:rsidP="00611022">
            <w:pPr>
              <w:tabs>
                <w:tab w:val="left" w:pos="7812"/>
              </w:tabs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 w:rsidRPr="001071E9">
              <w:rPr>
                <w:rFonts w:ascii="Times New Roman" w:hAnsi="Times New Roman" w:cs="Times New Roman"/>
                <w:b/>
              </w:rPr>
              <w:t>634045, РФ, г</w:t>
            </w:r>
            <w:proofErr w:type="gramStart"/>
            <w:r w:rsidRPr="001071E9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1071E9">
              <w:rPr>
                <w:rFonts w:ascii="Times New Roman" w:hAnsi="Times New Roman" w:cs="Times New Roman"/>
                <w:b/>
              </w:rPr>
              <w:t xml:space="preserve">омск, </w:t>
            </w:r>
            <w:proofErr w:type="spellStart"/>
            <w:r w:rsidRPr="001071E9">
              <w:rPr>
                <w:rFonts w:ascii="Times New Roman" w:hAnsi="Times New Roman" w:cs="Times New Roman"/>
                <w:b/>
              </w:rPr>
              <w:t>Коларовский</w:t>
            </w:r>
            <w:proofErr w:type="spellEnd"/>
            <w:r w:rsidRPr="001071E9">
              <w:rPr>
                <w:rFonts w:ascii="Times New Roman" w:hAnsi="Times New Roman" w:cs="Times New Roman"/>
                <w:b/>
              </w:rPr>
              <w:t xml:space="preserve"> тракт, 8, </w:t>
            </w:r>
            <w:proofErr w:type="spellStart"/>
            <w:r w:rsidRPr="001071E9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1071E9">
              <w:rPr>
                <w:rFonts w:ascii="Times New Roman" w:hAnsi="Times New Roman" w:cs="Times New Roman"/>
                <w:b/>
              </w:rPr>
              <w:t>. 310</w:t>
            </w:r>
          </w:p>
          <w:p w:rsidR="001071E9" w:rsidRPr="001071E9" w:rsidRDefault="001071E9" w:rsidP="0061102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71E9">
              <w:rPr>
                <w:rFonts w:ascii="Times New Roman" w:hAnsi="Times New Roman" w:cs="Times New Roman"/>
                <w:b/>
                <w:lang w:val="de-DE"/>
              </w:rPr>
              <w:t>E-</w:t>
            </w:r>
            <w:proofErr w:type="spellStart"/>
            <w:r w:rsidRPr="001071E9">
              <w:rPr>
                <w:rFonts w:ascii="Times New Roman" w:hAnsi="Times New Roman" w:cs="Times New Roman"/>
                <w:b/>
                <w:lang w:val="de-DE"/>
              </w:rPr>
              <w:t>mail</w:t>
            </w:r>
            <w:proofErr w:type="spellEnd"/>
            <w:r w:rsidRPr="001071E9">
              <w:rPr>
                <w:rFonts w:ascii="Times New Roman" w:hAnsi="Times New Roman" w:cs="Times New Roman"/>
                <w:b/>
                <w:lang w:val="de-DE"/>
              </w:rPr>
              <w:t xml:space="preserve">: </w:t>
            </w:r>
            <w:hyperlink r:id="rId8" w:history="1">
              <w:r w:rsidRPr="001071E9">
                <w:rPr>
                  <w:rStyle w:val="a9"/>
                  <w:rFonts w:ascii="Times New Roman" w:hAnsi="Times New Roman"/>
                  <w:lang w:val="en-US"/>
                </w:rPr>
                <w:t>ilma@ilma-mk.ru</w:t>
              </w:r>
            </w:hyperlink>
            <w:r w:rsidRPr="001071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71E9">
              <w:rPr>
                <w:rFonts w:ascii="Times New Roman" w:hAnsi="Times New Roman" w:cs="Times New Roman"/>
                <w:b/>
                <w:lang w:val="de-DE"/>
              </w:rPr>
              <w:t xml:space="preserve">Web: </w:t>
            </w:r>
            <w:hyperlink r:id="rId9" w:history="1">
              <w:r w:rsidRPr="001071E9">
                <w:rPr>
                  <w:rStyle w:val="a9"/>
                  <w:rFonts w:ascii="Times New Roman" w:hAnsi="Times New Roman"/>
                  <w:lang w:val="de-DE"/>
                </w:rPr>
                <w:t>www.ilma</w:t>
              </w:r>
              <w:r w:rsidRPr="001071E9">
                <w:rPr>
                  <w:rStyle w:val="a9"/>
                  <w:rFonts w:ascii="Times New Roman" w:hAnsi="Times New Roman"/>
                  <w:lang w:val="en-US"/>
                </w:rPr>
                <w:t>-</w:t>
              </w:r>
              <w:r w:rsidRPr="001071E9">
                <w:rPr>
                  <w:rStyle w:val="a9"/>
                  <w:rFonts w:ascii="Times New Roman" w:hAnsi="Times New Roman"/>
                  <w:lang w:val="de-DE"/>
                </w:rPr>
                <w:t>mk.ru</w:t>
              </w:r>
            </w:hyperlink>
          </w:p>
          <w:p w:rsidR="001071E9" w:rsidRPr="001071E9" w:rsidRDefault="001071E9" w:rsidP="00611022">
            <w:pPr>
              <w:tabs>
                <w:tab w:val="left" w:pos="7812"/>
              </w:tabs>
              <w:ind w:right="432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de-DE"/>
              </w:rPr>
            </w:pPr>
          </w:p>
        </w:tc>
      </w:tr>
    </w:tbl>
    <w:p w:rsidR="001071E9" w:rsidRPr="001071E9" w:rsidRDefault="001071E9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1A8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«Ильма» была создана в 2001 году как специализированное предприятие по проектированию, производству и сервису систем управления горно-шахтным оборудованием. </w:t>
      </w:r>
      <w:r w:rsidR="00F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истоков предприятия стояли всего 10 человек, в том числе руководство, технические специалисты и рабочие, в основном бывшие сотрудники Томского приборного завода. Предприятие располагалось в двух арендованных помещениях общей площадью 300 кв. м.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производственную деятельность «Ильма» начала 3 января 2002 года, когда был заключён первый договор с шахтой «Заречная», </w:t>
      </w:r>
      <w:proofErr w:type="gram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Полысаево, Кемеровской области на поставку автоматизированной системы САУК138М для управления механизированной крепью. Система была поставлена на шахту, прошла испытания и получила высокую оценку специалистов, которые отметили, что в сравнении с ручным управлением система САУК138М значительно повышает производительность и безопасность труда за счет увеличения скорости крепления кровли и обеспечения гарантированного распора секции крепи.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7B" w:rsidRDefault="009B2E7B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2005 г. «Ильма»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выпускает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электрогидравлического управления комбайнами «Урал 10», «Урал-20Р», «Урал 61»,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самоходной буровой установкой СБУ-250 («КМЗ»),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дистанционного радиоуправления комбайнами КП21, КП220, П110 и др.</w:t>
      </w:r>
    </w:p>
    <w:p w:rsidR="00D83006" w:rsidRDefault="009B2E7B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предприятие разработало, изготовило и отгрузило свою первую магнитную станцию с аппаратурой управления по радиоканалу для проходческого комбайна КПЮ-50 производств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83006" w:rsidRDefault="00D83006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7B" w:rsidRPr="003877BA" w:rsidRDefault="009B2E7B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2007-2008 гг. по заказу одной из канадских фирм были разработаны и изготовлены источники бесперебойного питания ИБП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питания аппаратуры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напряжением и обеспечения ее непрерывной работы до 24 часов после аварийного отключения сетевого напряжения. 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и современные высокотехнологичные решения позволили компании с начала 2010г. взять курс на полномасштабную модернизацию.</w:t>
      </w:r>
    </w:p>
    <w:p w:rsidR="00F741A8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на 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САУК138М 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компании создали систему управления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механизированным комплексом «Ильма МК»</w:t>
      </w:r>
      <w:r w:rsidR="00D83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основным функциям управления секциями крепи добавил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визуализация и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управлени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забойными механизмами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(конвейером, дробилкой, перегружателем и комбайном)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предупредительн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предпусков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двусторонняя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громкоговорящ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</w:t>
      </w:r>
      <w:r w:rsidR="00C8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натяжением лавного конвейера. </w:t>
      </w:r>
    </w:p>
    <w:p w:rsidR="00C87E05" w:rsidRDefault="00C87E05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плюсам новой системы можно отнести внедрение быстроразъемных соединений, беспроводных технологий и применение к</w:t>
      </w:r>
      <w:r w:rsidR="00F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абельных перемычек в армированном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</w:t>
      </w:r>
      <w:r w:rsidR="00F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A8" w:rsidRDefault="00F741A8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2011 первая система «Ильма МК» была введена в эксплуатацию на шахте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СУЭК-Кузбасс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где она отработала четыре лавы. В 2012г. фрагмент системы «Ильма МК» был поставлен в АО «Днепропетровский агрегатный завод» (</w:t>
      </w:r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в рамках сертификации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испытания на «Шахте имени Н.И. Сташкова».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A8" w:rsidRPr="003877BA" w:rsidRDefault="00F741A8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две новые системы «Ильма МК» были отгружены на шахты компаний «Северный Кузбасс»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ММК-Уголь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2019 на шахте «Березовская» прошла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донаростка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крепи с системой «Ильма МК».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6E" w:rsidRPr="003877BA" w:rsidRDefault="0044486E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2012 г. процессы модернизации оборудования затронули практически всю выпускаемую компанией продукцию. Были модернизированы источники бесперебойного питания ИБП</w:t>
      </w:r>
      <w:proofErr w:type="gram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(увеличена емкость аккумуляторной батареи, уменьшены габаритные размеры и вес, введена световая индикация заряда батареи), клапаны орошения (с механических до электромагнитных), системы электрогидравлического управления комбайнами СЭУ «Урал20Р», «Урал61», «Урал10»,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«КП21»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новые функции, поставлено на поток производство собственных магнитных станций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проч.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0" w:rsidRDefault="000000A0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компания «Ильма» начала полномасштабные работы по ревизии, ремонту и модернизации магнитных станций 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усовершенствованием системы управления и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 по восстановлению комбайнов КП21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1ГПКС, П110</w:t>
      </w:r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после модернизации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системы управления появились новые функции: 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работе комбайна на поверхность, а также осуществление контроля изоляции на отходящем соединении, диагностика состояния электроприводов с их защитой и исключение элементов релейно-контактной логики, и, кроме того, сокращение количества коммутационных элементов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1A" w:rsidRDefault="0054761A" w:rsidP="00EC4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B54" w:rsidRDefault="00EC4B54" w:rsidP="00EC4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FF">
        <w:rPr>
          <w:rFonts w:ascii="Times New Roman" w:hAnsi="Times New Roman" w:cs="Times New Roman"/>
          <w:sz w:val="24"/>
          <w:szCs w:val="24"/>
        </w:rPr>
        <w:t xml:space="preserve">В 2015-2016 гг. на базе многолетнего опыта проектирования и производства систем управления комбайнами была разработана и введена в эксплуатацию система управления </w:t>
      </w:r>
      <w:proofErr w:type="spellStart"/>
      <w:r w:rsidRPr="001941FF">
        <w:rPr>
          <w:rFonts w:ascii="Times New Roman" w:hAnsi="Times New Roman" w:cs="Times New Roman"/>
          <w:sz w:val="24"/>
          <w:szCs w:val="24"/>
        </w:rPr>
        <w:t>самопередвижной</w:t>
      </w:r>
      <w:proofErr w:type="spellEnd"/>
      <w:r w:rsidRPr="001941FF">
        <w:rPr>
          <w:rFonts w:ascii="Times New Roman" w:hAnsi="Times New Roman" w:cs="Times New Roman"/>
          <w:sz w:val="24"/>
          <w:szCs w:val="24"/>
        </w:rPr>
        <w:t xml:space="preserve"> концевой системы СКС 1.2</w:t>
      </w:r>
      <w:r>
        <w:rPr>
          <w:rFonts w:ascii="Times New Roman" w:hAnsi="Times New Roman" w:cs="Times New Roman"/>
          <w:sz w:val="24"/>
          <w:szCs w:val="24"/>
        </w:rPr>
        <w:t xml:space="preserve"> ленточного </w:t>
      </w:r>
      <w:r w:rsidRPr="001941FF">
        <w:rPr>
          <w:rFonts w:ascii="Times New Roman" w:hAnsi="Times New Roman" w:cs="Times New Roman"/>
          <w:sz w:val="24"/>
          <w:szCs w:val="24"/>
        </w:rPr>
        <w:t>конвейер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761A">
        <w:rPr>
          <w:rFonts w:ascii="Times New Roman" w:hAnsi="Times New Roman" w:cs="Times New Roman"/>
          <w:sz w:val="24"/>
          <w:szCs w:val="24"/>
        </w:rPr>
        <w:t>,</w:t>
      </w:r>
      <w:r w:rsidRPr="0019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работающего в комплексе</w:t>
      </w:r>
      <w:r w:rsidRPr="0019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проходческим комбайном, - </w:t>
      </w:r>
      <w:r w:rsidRPr="001941FF">
        <w:rPr>
          <w:rFonts w:ascii="Times New Roman" w:hAnsi="Times New Roman" w:cs="Times New Roman"/>
          <w:sz w:val="24"/>
          <w:szCs w:val="24"/>
        </w:rPr>
        <w:t>КСУ «АУ КШЛ». КСУ</w:t>
      </w:r>
      <w:r w:rsidR="00D83006">
        <w:rPr>
          <w:rFonts w:ascii="Times New Roman" w:hAnsi="Times New Roman" w:cs="Times New Roman"/>
          <w:sz w:val="24"/>
          <w:szCs w:val="24"/>
        </w:rPr>
        <w:t xml:space="preserve"> </w:t>
      </w:r>
      <w:r w:rsidRPr="001941FF">
        <w:rPr>
          <w:rFonts w:ascii="Times New Roman" w:hAnsi="Times New Roman" w:cs="Times New Roman"/>
          <w:sz w:val="24"/>
          <w:szCs w:val="24"/>
        </w:rPr>
        <w:t xml:space="preserve">«АУ КШЛ» обеспечивает дистанционное беспроводное и местное управление системой СКС, а также измерение параметров работы, сбор, фиксацию и передачу информации о системе СКС горному диспетчеру. Эксплуатация оборудования на шахтах Кузбасса показала, что применение </w:t>
      </w:r>
      <w:proofErr w:type="spellStart"/>
      <w:r w:rsidRPr="001941FF">
        <w:rPr>
          <w:rFonts w:ascii="Times New Roman" w:hAnsi="Times New Roman" w:cs="Times New Roman"/>
          <w:sz w:val="24"/>
          <w:szCs w:val="24"/>
        </w:rPr>
        <w:t>Самопередвижной</w:t>
      </w:r>
      <w:proofErr w:type="spellEnd"/>
      <w:r w:rsidRPr="001941FF">
        <w:rPr>
          <w:rFonts w:ascii="Times New Roman" w:hAnsi="Times New Roman" w:cs="Times New Roman"/>
          <w:sz w:val="24"/>
          <w:szCs w:val="24"/>
        </w:rPr>
        <w:t xml:space="preserve"> концевой системы СКС 1.2 под управлением аппаратуры КСУ «АУ КШЛ» увеличивает скорость проходческих работ до 50% по сравнению с классической схемой «ручного» </w:t>
      </w:r>
      <w:proofErr w:type="spellStart"/>
      <w:r w:rsidRPr="001941FF">
        <w:rPr>
          <w:rFonts w:ascii="Times New Roman" w:hAnsi="Times New Roman" w:cs="Times New Roman"/>
          <w:sz w:val="24"/>
          <w:szCs w:val="24"/>
        </w:rPr>
        <w:t>донаращивания</w:t>
      </w:r>
      <w:proofErr w:type="spellEnd"/>
      <w:r w:rsidRPr="001941FF">
        <w:rPr>
          <w:rFonts w:ascii="Times New Roman" w:hAnsi="Times New Roman" w:cs="Times New Roman"/>
          <w:sz w:val="24"/>
          <w:szCs w:val="24"/>
        </w:rPr>
        <w:t xml:space="preserve"> ленточного конвейера по мере прохождения комбайном выработки забоя.</w:t>
      </w:r>
    </w:p>
    <w:p w:rsidR="00284F6F" w:rsidRDefault="00EC4B54" w:rsidP="00EC4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погрузочно-транспортного комплекса сопровождалось нашим предприятием путем разработки системы управления телескопом кассетным ленточным, являющимся ещё одной составной частью транспортного комплекса ПКТ10,</w:t>
      </w:r>
      <w:r w:rsidR="005476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КСУ «ТКЛ». КСУ «ТКЛ» обеспечивает сблокированное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маслостанцией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сматывателем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реверсивное управление натяжением ленточного полотна транспортного комплекса с контролем состояния неподвижных подшипниковых опор проводными датчиками, а подшипниковых опор подвижной каретки телескопа</w:t>
      </w:r>
      <w:r w:rsidR="00D83006" w:rsidRPr="00D83006">
        <w:rPr>
          <w:rFonts w:ascii="Times New Roman" w:hAnsi="Times New Roman" w:cs="Times New Roman"/>
          <w:sz w:val="24"/>
          <w:szCs w:val="24"/>
        </w:rPr>
        <w:t xml:space="preserve"> </w:t>
      </w:r>
      <w:r w:rsidR="00D83006">
        <w:rPr>
          <w:rFonts w:ascii="Times New Roman" w:hAnsi="Times New Roman" w:cs="Times New Roman"/>
          <w:sz w:val="24"/>
          <w:szCs w:val="24"/>
        </w:rPr>
        <w:t>- по радиоканалу. Все показатели работы</w:t>
      </w:r>
      <w:r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D83006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в вышестоящую диспетчерскую систему. </w:t>
      </w:r>
    </w:p>
    <w:p w:rsidR="00EC4B54" w:rsidRDefault="00EC4B54" w:rsidP="00EC4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развития КСУ «АУ КШЛ» и КСУ «ТКЛ» стал</w:t>
      </w:r>
      <w:r w:rsidR="00D830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разработка объединённой системы управления транспортным комплексом КСУ «КТ». </w:t>
      </w:r>
      <w:r w:rsidR="00D830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 обеспечивает сблокированное автоматическое управление перемещением составных частей погрузочно-транспортного комплекса в составе: бункера загрузочного, секции концевой самоходной, накопителя кассетного ленточного, лебедки натяжной конвейерной. Система управляет</w:t>
      </w:r>
      <w:r w:rsidRPr="0015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761A">
        <w:rPr>
          <w:rFonts w:ascii="Times New Roman" w:hAnsi="Times New Roman" w:cs="Times New Roman"/>
          <w:sz w:val="24"/>
          <w:szCs w:val="24"/>
        </w:rPr>
        <w:t>онвейером загрузочного бункера,</w:t>
      </w:r>
      <w:r>
        <w:rPr>
          <w:rFonts w:ascii="Times New Roman" w:hAnsi="Times New Roman" w:cs="Times New Roman"/>
          <w:sz w:val="24"/>
          <w:szCs w:val="24"/>
        </w:rPr>
        <w:t xml:space="preserve"> контролирует наличие горной массы на нем и </w:t>
      </w:r>
      <w:r w:rsidR="00284F6F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сблокированную работу с конвейером. Контролирует скорость и натяжение ленточного полотна и обеспечивает синхронную работу механизмов секции концевой самоходной, механизмов телескопа кассетного и загрузочного бункера при перемещении (наращивании или сокращении) всех составных частей погрузочного комплекса, в том числе в полуавтоматическом режиме. </w:t>
      </w:r>
      <w:r w:rsidR="0054761A">
        <w:rPr>
          <w:rFonts w:ascii="Times New Roman" w:hAnsi="Times New Roman" w:cs="Times New Roman"/>
          <w:sz w:val="24"/>
          <w:szCs w:val="24"/>
        </w:rPr>
        <w:t>В марте 2020 года первый комплекс КСУ «КТ» введен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A">
        <w:rPr>
          <w:rFonts w:ascii="Times New Roman" w:hAnsi="Times New Roman" w:cs="Times New Roman"/>
          <w:sz w:val="24"/>
          <w:szCs w:val="24"/>
        </w:rPr>
        <w:t>на руднике</w:t>
      </w:r>
      <w:r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57EB8" w:rsidRDefault="00757EB8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6E" w:rsidRDefault="0044486E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разработан и изготовлен источник бесперебойного питания со встроенным сетевым коммутатором, предназначенный для высокоскоростной  оптической шахтовой сети передачи данных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поддержания ее бесперебойной работы в течение 16 часов при отключении питающей сети.</w:t>
      </w:r>
    </w:p>
    <w:p w:rsidR="00593AA0" w:rsidRDefault="00593AA0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6E" w:rsidRDefault="00CD57BC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  <w:r w:rsidR="0044486E"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шахты Кузбасса, Воркуты и Восточного Донбасса поставлены 3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4486E"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«Ильмы» для автоматизированного управления механизированными крепями</w:t>
      </w:r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proofErr w:type="gram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Юргинский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машзавод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Кран-УМЗ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«Промышленная группа МК» (Россия),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Глиник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Фазос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«Тагор» (Польша),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Дружковского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машиностроительного завода» (Украина), «</w:t>
      </w:r>
      <w:proofErr w:type="spellStart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Чженьджоусского</w:t>
      </w:r>
      <w:proofErr w:type="spellEnd"/>
      <w:r w:rsidR="004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завода» (Китай»).</w:t>
      </w:r>
    </w:p>
    <w:p w:rsidR="002A2EE8" w:rsidRPr="003877BA" w:rsidRDefault="0044486E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отгружено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шахты</w:t>
      </w:r>
      <w:r w:rsidR="002A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650</w:t>
      </w:r>
      <w:r w:rsidR="002A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2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 управления проходческой 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системы КСУ «АУ КШЛ»,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бесперебойного питания,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D96D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питания со встроенным сетевым коммутатором,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 систем пылеподавления,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клапанов орошени</w:t>
      </w:r>
      <w:r w:rsidR="00D96D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</w:t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новейших разработок специального конструкторско-технологического отдела «Ильмы»:</w:t>
      </w:r>
    </w:p>
    <w:p w:rsidR="008736C4" w:rsidRPr="00593AA0" w:rsidRDefault="008736C4" w:rsidP="00593AA0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AA0">
        <w:rPr>
          <w:rFonts w:ascii="Times New Roman" w:hAnsi="Times New Roman" w:cs="Times New Roman"/>
          <w:sz w:val="24"/>
          <w:szCs w:val="24"/>
        </w:rPr>
        <w:t>Система контроля сближения СКС, предназначенная  для определения местоположения шахтеров в опасной зоне работы техники (проходческих комбайнов, очистных комбайнов, самоходных вагонов любых производителей) и оповещения системы управления техники об опасном сближении с человеком для дальнейшей реакции системы (отключение исполнительных приводных механизмов);</w:t>
      </w:r>
    </w:p>
    <w:p w:rsidR="008736C4" w:rsidRPr="00593AA0" w:rsidRDefault="008736C4" w:rsidP="00593AA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A0">
        <w:rPr>
          <w:rFonts w:ascii="Times New Roman" w:hAnsi="Times New Roman" w:cs="Times New Roman"/>
          <w:sz w:val="24"/>
          <w:szCs w:val="24"/>
        </w:rPr>
        <w:t>Аппаратура контроля сближения АКС, предназначенная для мониторинга за подконтрольной областью и уведомления персонала шахты о сближении горной машины с преградой, а также для выдачи дискретных сигналов о характере преграды. Кроме того, система позволяет распознать тип приближающейся преграды (одушевленная или неодушевленная);</w:t>
      </w:r>
    </w:p>
    <w:p w:rsidR="003877BA" w:rsidRPr="00593AA0" w:rsidRDefault="008736C4" w:rsidP="00593AA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proofErr w:type="spellStart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коммутационне</w:t>
      </w:r>
      <w:proofErr w:type="spellEnd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УКМ, которое совместно с новым датчиком протока осуществляет контроль параметров </w:t>
      </w:r>
      <w:proofErr w:type="spellStart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технологических процессах шахт и рудников.</w:t>
      </w:r>
    </w:p>
    <w:p w:rsidR="00593AA0" w:rsidRDefault="00593AA0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оборудование, выпускаемое компанией «Ильма», оснащено защитой вида «</w:t>
      </w:r>
      <w:proofErr w:type="spellStart"/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искробезопасная</w:t>
      </w:r>
      <w:proofErr w:type="spellEnd"/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электрическая сеть» и «взрывонепроницаемая оболочка», предназначено для эксплуатации в шахтах, опасных по газу и угольной пыли. Вся продукция сертифицирована в соответствии с </w:t>
      </w:r>
      <w:r w:rsidR="005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технического регламента Таможенного союза</w:t>
      </w:r>
      <w:r w:rsidR="00D83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изделий «Ильмы» защищены патентами Федеральной службы по интеллектуальной собственности, патентами и товарными знаками.</w:t>
      </w:r>
    </w:p>
    <w:p w:rsidR="008736C4" w:rsidRDefault="008736C4" w:rsidP="008736C4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4F6F" w:rsidRDefault="003877BA" w:rsidP="008736C4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изготовления продукции используется современное высокотехнологичное оборудование. </w:t>
      </w:r>
    </w:p>
    <w:p w:rsidR="003877BA" w:rsidRPr="003877BA" w:rsidRDefault="003877BA" w:rsidP="008736C4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Станочный парк предприятия включает в себя:</w:t>
      </w:r>
    </w:p>
    <w:p w:rsidR="003877BA" w:rsidRPr="003877BA" w:rsidRDefault="003877BA" w:rsidP="008736C4">
      <w:pPr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Фрезерные вертикальные обрабатывающие центры, обладающие высокой производительностью, точностью и надежностью. Обрабатывающие центры дают возможность изготавливать детали сложной формы и конфигурации.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4" name="Рисунок 4" descr="Производство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изводство Иль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BA" w:rsidRPr="003877BA" w:rsidRDefault="003877BA" w:rsidP="008736C4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Универсальный фрезерный станок, оснащенный устройством цифровой индикации для точного позиционирования деталей.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5" name="Рисунок 5" descr="Производство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изводство Иль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BA" w:rsidRPr="003877BA" w:rsidRDefault="003877BA" w:rsidP="008736C4">
      <w:pPr>
        <w:numPr>
          <w:ilvl w:val="0"/>
          <w:numId w:val="4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прецизионной обработки, который позволяет получить высокоточные отверстия при производстве и ремонте гидравлической аппаратуры.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6" name="Рисунок 6" descr="Производство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изводство Иль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BA" w:rsidRPr="003877BA" w:rsidRDefault="003877BA" w:rsidP="008736C4">
      <w:pPr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Токарные станки с ЧПУ и сварочные полуавтоматические аппараты.</w:t>
      </w:r>
    </w:p>
    <w:p w:rsidR="003877BA" w:rsidRPr="003877BA" w:rsidRDefault="003877BA" w:rsidP="008736C4">
      <w:pPr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станок с ЧПУ (Германия). Станок отличается высокой динамикой и точностью и выполняет фрезеровку, сверление и стандартные операции точения.</w:t>
      </w:r>
    </w:p>
    <w:p w:rsidR="003877BA" w:rsidRPr="008736C4" w:rsidRDefault="003877BA" w:rsidP="008736C4">
      <w:pPr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лазерной резки (Япония). С помощью </w:t>
      </w:r>
      <w:proofErr w:type="gram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</w:t>
      </w:r>
      <w:proofErr w:type="gram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получать готовые детали из листового проката за одну операцию, что исключает необходимость дополнительной слесарной обработки заготовок и значительно расширяет технологические рамки</w:t>
      </w:r>
      <w:r w:rsidRPr="0087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77BA" w:rsidRPr="003877BA" w:rsidRDefault="003877BA" w:rsidP="008736C4">
      <w:pPr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Лазерный маркер для гравировки различных поверхностей.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7" name="Рисунок 7" descr="Производство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изводство Иль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4" w:rsidRDefault="008736C4" w:rsidP="008736C4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numPr>
          <w:ilvl w:val="0"/>
          <w:numId w:val="6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поверхностного монтажа печатных плат. Применение линии поверхностного монтажа позволило уменьшить вес и габаритные размеры продукции компании, увеличило качество передачи слабых и высокочастотных сигналов за счет уменьшения длины выводов и более плотной компоновки комплектующих на плате, повысило технологичность и производительность и снизило трудоемкость изготовления плат.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3810000"/>
            <wp:effectExtent l="19050" t="0" r="9525" b="0"/>
            <wp:docPr id="8" name="Рисунок 8" descr="Автоматический монтаж плат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матический монтаж плат ли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4" w:rsidRDefault="008736C4" w:rsidP="008736C4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3E" w:rsidRDefault="00A4723E" w:rsidP="00A4723E">
      <w:pPr>
        <w:numPr>
          <w:ilvl w:val="0"/>
          <w:numId w:val="7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1218565</wp:posOffset>
            </wp:positionV>
            <wp:extent cx="5715000" cy="4286250"/>
            <wp:effectExtent l="19050" t="0" r="0" b="0"/>
            <wp:wrapTight wrapText="bothSides">
              <wp:wrapPolygon edited="0">
                <wp:start x="-72" y="0"/>
                <wp:lineTo x="-72" y="21504"/>
                <wp:lineTo x="21600" y="21504"/>
                <wp:lineTo x="21600" y="0"/>
                <wp:lineTo x="-72" y="0"/>
              </wp:wrapPolygon>
            </wp:wrapTight>
            <wp:docPr id="1" name="Рисунок 0" descr="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селективной пайки.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Селективная пайка позволяет избирательно производить монтаж большинства существующих типов выводных 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пайке двухсторонних плат с плотным монтажом,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выводами, 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корпусом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Кроме того, пайка происходит в среде азота, что обеспечивает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высокое качество паяных соединений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окисления.</w:t>
      </w:r>
    </w:p>
    <w:p w:rsidR="00A4723E" w:rsidRPr="00A4723E" w:rsidRDefault="00A4723E" w:rsidP="00A4723E">
      <w:pPr>
        <w:spacing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numPr>
          <w:ilvl w:val="0"/>
          <w:numId w:val="7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Шлифовальный станок. Основным преимуществом станка является возможность в автоматизированном режиме осуществлять шлифовку как наружной, так и внутренней поверхности изделий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9" name="Рисунок 9" descr="Производство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изводство Иль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4" w:rsidRDefault="008736C4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в настоящее время МП «Ильма» имеет уникальную производственную базу, которая позволяет </w:t>
      </w:r>
      <w:r w:rsidR="00CD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наращивать</w:t>
      </w:r>
      <w:r w:rsidRPr="0038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производительность предприятия, качество и функциональность выпускаемой продукции, сократить сроки ее изготовления, уменьшить вес и массогабаритные характеристики.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надежность систем управления «Ильмы» подтверждаются благодарственными письмами от руководителей шахт, где они эксплуатируются.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компании в развитие угольной промышленности Кузбасса отмечен благодарственным письмом Администрации Кемеровской области.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и оборудование производства «Ильмы» хорошо знают специалисты России, Украины, Казахстана, Белоруссии, Германии, Польши и Китая.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регулярно принимает участие в специализированных международных выставках, в том числе совместно с известными российскими и зарубежными фирмами. На международных угольных выставках в России (в </w:t>
      </w:r>
      <w:proofErr w:type="gram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Новокузнецк, г. Кемерово) системы управления Ильмы демонстрировались в составе оборудования производства Юргинского,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Каменского машиностроите</w:t>
      </w:r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заводов</w:t>
      </w:r>
      <w:r w:rsidR="00D830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Анжеромаш</w:t>
      </w:r>
      <w:proofErr w:type="spellEnd"/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Сибэлектро</w:t>
      </w:r>
      <w:proofErr w:type="spellEnd"/>
      <w:r w:rsidR="00CD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2007 и 2009 гг. на международных выставках в Китае система управления «Ильмы» САУК138М демонстрировалась на самой большой в мире секции крепи производства «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Чженьчьжоусского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ГШО» и на секциях крепи производства «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Ordos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Juding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Coal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Mine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Manufacturing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«Ильмы» на международных выставках отмечена 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дипломами, 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бронзовыми, 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серебряными, 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золотыми медалями и </w:t>
      </w:r>
      <w:r w:rsidR="00554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Гран-при.</w:t>
      </w:r>
    </w:p>
    <w:p w:rsidR="001071E9" w:rsidRPr="003877BA" w:rsidRDefault="001071E9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5023083"/>
            <wp:effectExtent l="19050" t="0" r="9525" b="0"/>
            <wp:docPr id="10" name="Рисунок 10" descr="Награды и дипломы 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грады и дипломы Иль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85" cy="502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E9" w:rsidRDefault="001071E9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главное, как и на любом предприятии – это сотрудники компании, имеющие многолетний опыт работы на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производстве, специалисты в области информатики, электроники, электромеханики, гидравлики, обладающие обширными знаниями о процессе добычи угля и других полезных ископаемых. Рядом с ветеранами трудятся молодые кадры, которые без отрыва </w:t>
      </w:r>
      <w:r w:rsidRPr="0038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производства занимаются научной работой, учатся в аспирантуре, готовятся к защите кандидатских диссертаций.</w:t>
      </w: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3810000"/>
            <wp:effectExtent l="19050" t="0" r="9525" b="0"/>
            <wp:docPr id="11" name="Рисунок 11" descr="Ильма сотру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льма сотрудни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E9" w:rsidRDefault="001071E9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BA" w:rsidRPr="003877BA" w:rsidRDefault="003877BA" w:rsidP="008736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компания — динамично развивающееся научно-производственное предприятие с большим потенциалом и перспективами</w:t>
      </w:r>
    </w:p>
    <w:p w:rsidR="004944A2" w:rsidRDefault="004944A2" w:rsidP="008736C4">
      <w:pPr>
        <w:spacing w:line="240" w:lineRule="auto"/>
        <w:ind w:firstLine="567"/>
        <w:jc w:val="both"/>
      </w:pPr>
    </w:p>
    <w:sectPr w:rsidR="004944A2" w:rsidSect="00A4723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FC5"/>
    <w:multiLevelType w:val="multilevel"/>
    <w:tmpl w:val="9E6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127F"/>
    <w:multiLevelType w:val="multilevel"/>
    <w:tmpl w:val="96B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457E"/>
    <w:multiLevelType w:val="multilevel"/>
    <w:tmpl w:val="644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2FF9"/>
    <w:multiLevelType w:val="multilevel"/>
    <w:tmpl w:val="6036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0157F"/>
    <w:multiLevelType w:val="multilevel"/>
    <w:tmpl w:val="C30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438DF"/>
    <w:multiLevelType w:val="multilevel"/>
    <w:tmpl w:val="297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D55B0"/>
    <w:multiLevelType w:val="multilevel"/>
    <w:tmpl w:val="259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BA"/>
    <w:rsid w:val="000000A0"/>
    <w:rsid w:val="00017EE1"/>
    <w:rsid w:val="0003655F"/>
    <w:rsid w:val="001071E9"/>
    <w:rsid w:val="00284F6F"/>
    <w:rsid w:val="002A2EE8"/>
    <w:rsid w:val="002B02DC"/>
    <w:rsid w:val="003877BA"/>
    <w:rsid w:val="003A5291"/>
    <w:rsid w:val="003D747F"/>
    <w:rsid w:val="0044486E"/>
    <w:rsid w:val="004944A2"/>
    <w:rsid w:val="004B02FE"/>
    <w:rsid w:val="0054761A"/>
    <w:rsid w:val="00554A7A"/>
    <w:rsid w:val="00593AA0"/>
    <w:rsid w:val="005E73EB"/>
    <w:rsid w:val="00611022"/>
    <w:rsid w:val="00654931"/>
    <w:rsid w:val="00697C53"/>
    <w:rsid w:val="007324A0"/>
    <w:rsid w:val="00757EB8"/>
    <w:rsid w:val="00822D32"/>
    <w:rsid w:val="00824EB7"/>
    <w:rsid w:val="008736C4"/>
    <w:rsid w:val="00876AB3"/>
    <w:rsid w:val="008924F9"/>
    <w:rsid w:val="009B2E7B"/>
    <w:rsid w:val="00A00136"/>
    <w:rsid w:val="00A4723E"/>
    <w:rsid w:val="00AF2C81"/>
    <w:rsid w:val="00C87E05"/>
    <w:rsid w:val="00CD57BC"/>
    <w:rsid w:val="00D542E7"/>
    <w:rsid w:val="00D83006"/>
    <w:rsid w:val="00D96D88"/>
    <w:rsid w:val="00E443AC"/>
    <w:rsid w:val="00EC4B54"/>
    <w:rsid w:val="00F4389A"/>
    <w:rsid w:val="00F7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2"/>
  </w:style>
  <w:style w:type="paragraph" w:styleId="3">
    <w:name w:val="heading 3"/>
    <w:basedOn w:val="a"/>
    <w:link w:val="30"/>
    <w:uiPriority w:val="9"/>
    <w:qFormat/>
    <w:rsid w:val="00387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7BA"/>
    <w:rPr>
      <w:i/>
      <w:iCs/>
    </w:rPr>
  </w:style>
  <w:style w:type="character" w:styleId="a5">
    <w:name w:val="Strong"/>
    <w:basedOn w:val="a0"/>
    <w:uiPriority w:val="22"/>
    <w:qFormat/>
    <w:rsid w:val="00387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7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6C4"/>
    <w:pPr>
      <w:ind w:left="720"/>
      <w:contextualSpacing/>
    </w:pPr>
  </w:style>
  <w:style w:type="character" w:styleId="a9">
    <w:name w:val="Hyperlink"/>
    <w:rsid w:val="00107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a@ilma-mk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ma-mk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003B-8DFC-4F5D-BB35-06C6001B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kunitsina_oa</dc:creator>
  <cp:keywords/>
  <dc:description/>
  <cp:lastModifiedBy>kunitsina_oa</cp:lastModifiedBy>
  <cp:revision>15</cp:revision>
  <cp:lastPrinted>2020-09-24T05:30:00Z</cp:lastPrinted>
  <dcterms:created xsi:type="dcterms:W3CDTF">2020-07-17T10:30:00Z</dcterms:created>
  <dcterms:modified xsi:type="dcterms:W3CDTF">2020-09-24T05:31:00Z</dcterms:modified>
</cp:coreProperties>
</file>